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2" w:rsidRDefault="00152EB4">
      <w:pPr>
        <w:spacing w:before="120" w:after="120" w:line="360" w:lineRule="auto"/>
        <w:ind w:left="567"/>
        <w:jc w:val="center"/>
        <w:rPr>
          <w:rFonts w:ascii="Times New Roman Bold" w:hAnsi="Times New Roman Bold"/>
          <w:lang w:val="pt-BR"/>
        </w:rPr>
      </w:pPr>
      <w:r>
        <w:rPr>
          <w:lang w:val="pt-BR"/>
        </w:rPr>
        <w:t>DIREITOS SEXUAIS E REPRODUTIVOS DE CRIANÇAS E ADOLESCENTES NO CONTEXTO DA GRAVIDEZ PRECOCE</w:t>
      </w:r>
    </w:p>
    <w:p w:rsidR="00211AE2" w:rsidRDefault="00152EB4">
      <w:pPr>
        <w:spacing w:before="120" w:after="120" w:line="360" w:lineRule="auto"/>
        <w:ind w:left="567"/>
        <w:jc w:val="right"/>
        <w:rPr>
          <w:lang w:val="pt-BR"/>
        </w:rPr>
      </w:pPr>
      <w:r>
        <w:rPr>
          <w:lang w:val="pt-BR"/>
        </w:rPr>
        <w:t>Jéssica Cristina Melo de Matos</w:t>
      </w:r>
      <w:r>
        <w:rPr>
          <w:vertAlign w:val="superscript"/>
          <w:lang w:val="pt-BR"/>
        </w:rPr>
        <w:footnoteReference w:id="1"/>
      </w:r>
    </w:p>
    <w:p w:rsidR="00211AE2" w:rsidRDefault="00152EB4">
      <w:pPr>
        <w:spacing w:before="120" w:after="120" w:line="360" w:lineRule="auto"/>
        <w:ind w:left="567"/>
        <w:jc w:val="right"/>
        <w:rPr>
          <w:lang w:val="pt-BR"/>
        </w:rPr>
      </w:pPr>
      <w:r>
        <w:rPr>
          <w:lang w:val="pt-BR"/>
        </w:rPr>
        <w:t>Denise Almeida de Andrade</w:t>
      </w:r>
      <w:r>
        <w:rPr>
          <w:vertAlign w:val="superscript"/>
          <w:lang w:val="pt-BR"/>
        </w:rPr>
        <w:footnoteReference w:id="2"/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INTRODUÇÃO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sexualidade se refere a uma dimensão da identidade da pessoa humana, e é inerente a todas as idades, apesar de leigos considerarem que se refere apenas a adultos e ao ato sexual. 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Aspectos da sexualidade deveriam ser repassados à criança natural e progressivamente, todavia, isso não acontece, e o pouco que é transmitido, dá-se sem abertura para diálogos, questionamentos, dúvidas, soluções.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Essa falta ou irregular orientação torna o jovem ainda mais vulnerável a vários riscos, como a gravidez precoce, a qual, consequentemente, é capaz de gerar ainda mais riscos.</w:t>
      </w:r>
    </w:p>
    <w:p w:rsidR="00211AE2" w:rsidRDefault="00152EB4">
      <w:pPr>
        <w:spacing w:before="120" w:after="120" w:line="360" w:lineRule="auto"/>
        <w:ind w:left="567" w:firstLine="1134"/>
        <w:jc w:val="both"/>
        <w:rPr>
          <w:lang w:val="pt-BR"/>
        </w:rPr>
      </w:pPr>
      <w:r>
        <w:rPr>
          <w:lang w:val="pt-BR"/>
        </w:rPr>
        <w:t>Este artigo se propõe a revelar os índices de gravidez precoce, no Brasil, e os riscos advindos dessa realidade, uma vez que se trata de um fato antigo, mas que continua presente no contexto atual, em um momento em que a medicina já está bastante avançada, revelando, assim, uma contradição.</w:t>
      </w:r>
    </w:p>
    <w:p w:rsidR="00211AE2" w:rsidRDefault="00152E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before="120" w:after="120" w:line="360" w:lineRule="auto"/>
        <w:ind w:left="567" w:firstLine="1134"/>
        <w:jc w:val="both"/>
        <w:rPr>
          <w:sz w:val="20"/>
          <w:lang w:val="pt-BR"/>
        </w:rPr>
      </w:pPr>
      <w:r>
        <w:rPr>
          <w:lang w:val="pt-BR"/>
        </w:rPr>
        <w:t>Além disso, a pesquisa buscou mostrar que esses índices são uma violação aos direitos sexuais e reprodutivos de crianças e adolescentes, os quais, apesar de não estarem expressos na Constituição Federal brasileira, podem ser considerados como direitos fundamentais</w:t>
      </w:r>
      <w:r>
        <w:rPr>
          <w:sz w:val="20"/>
          <w:lang w:val="pt-BR"/>
        </w:rPr>
        <w:t>.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Para alcançar esses objetivos, a presente pesquisa fez uso do método científico indutivo, de natureza descritiva, com estudo retrospectivo, com os dados de 2006, 2007 e 2010, do tipo quali-quantitativo, abordando o universo de crianças e adolescentes brasileiras, com dados processados por meio de documentos públicos do Instituto Brasileiro de Geografia e Estatística (IBGE) e do Ministério da Saúde.</w:t>
      </w:r>
    </w:p>
    <w:p w:rsidR="00211AE2" w:rsidRDefault="00152EB4">
      <w:pPr>
        <w:pStyle w:val="FormaLivreA"/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REFERENCIAL TEÓRICO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Moraes e Vitalle (2012,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 trataram dos “direitos sexuais e reprodutivos na adolescência”, pesquisando oito legislações (Estatuto da Criança e do Adolescente, Lei Federal 9263/96, Lei Federal 6202/75, Código de Ética Médica - Resolução CFM 1.931, Código de Ética da Enfermagem - Resolução do COFEN 311/2007, Resolução CFM 1811/2006, Portaria Interministerial nº 796, Nota Técnica nº. 13/2009), observando que, apesar de esses aparatos legais serem necessários para a “garantia da vivência da sexualidade de forma mais segura e saudável”, eles não correspondem ao contexto atual, como “importante ação em políticas públicas de prevenção e ênfase na educação para a sexualidade”.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Oliveira (1998,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 abordou a “gravidez na adolescência”, analisando as dimensões do problema, como biológica, sociocultural, econômica e educacional-escolar, e constatou que “acões educacionais que enfatizam a abordagem apenas biológica do planejamento familiar não tem sido eficazes”, alegando que para que haja redução desses elevados índices de gravidez precoce, é relevante uma educação, na qual se aborde todas as dimensões, principalmente, a sociocultural.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Yano e Ribeiro (2011,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 discutiram “o desenvolvimento da sexualidade de crianças em situação de risco”, concluindo que não basta haver a informação, mas também a orientação adequada à idade e ao desenvolvimento da criança. Crianças não ou má informadas ou orientadas tendem a formular seus próprios julgamentos, a partir de “conhecimentos equivocados e estereotipados”,  o que favorece “o aliciamento de agressores”.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do exposto, nota-se a importância de haver a colaboração de eficazes aparatos legais, juntamente com uma educação baseada em todas as dimensões do problema gravidez precoce, a partir de informações e orientações adequadas a cada fase do desenvolvimento.</w:t>
      </w:r>
    </w:p>
    <w:p w:rsidR="00211AE2" w:rsidRDefault="00152EB4">
      <w:pPr>
        <w:pStyle w:val="FormaLivreA"/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PROPOSTA DE DESDOBRAMENTOS DA PESQUISA</w:t>
      </w:r>
    </w:p>
    <w:p w:rsidR="00211AE2" w:rsidRDefault="00152EB4">
      <w:pPr>
        <w:pStyle w:val="FormaLivreA"/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Índices de gravidez precoce no Brasil</w:t>
      </w:r>
    </w:p>
    <w:p w:rsidR="00211AE2" w:rsidRDefault="00152EB4">
      <w:pPr>
        <w:pStyle w:val="FormaLivreA"/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Riscos advindos de uma gestação indesejada</w:t>
      </w:r>
    </w:p>
    <w:p w:rsidR="00211AE2" w:rsidRDefault="00152EB4">
      <w:pPr>
        <w:pStyle w:val="FormaLivreA"/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</w:t>
      </w:r>
    </w:p>
    <w:p w:rsidR="00211AE2" w:rsidRDefault="00152EB4">
      <w:pPr>
        <w:pStyle w:val="FormaLivreA"/>
        <w:spacing w:before="120" w:after="12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Índices de gravidez precoce no Brasil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sexualidade envolve uma série de fatores que se iniciam no ser humano, desde o nascimento, como a fase de amamentação. Ela não envolve apenas o ato sexual, como se pode pensar a princípio. Ela está presente em todas as fases do desenvolvimento humano. Em cada uma dessas, “há formas de busca e vivência do prazer.”(MORAES; VITALLE, 2012,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O direito sexual não deixa de ser um direito fundamental, uma vez que está diretamente relacionado à saúde, a qual é um direito fundamental, como explica, Yano e Ribeiro (2011). Logo, como a garantia do direito à saúde é responsabilidade do Estado, da sociedade e da família, consequentemente, também é dever desses três entes proteger o direito sexual, principalmente em relação à criança e ao adolescente, auxiliando-os a conhecer “as atividades sexuais da própria idade.” (YANO; RIBEIRO, 2011,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</w:t>
      </w:r>
    </w:p>
    <w:p w:rsidR="00211AE2" w:rsidRDefault="00152EB4">
      <w:pPr>
        <w:pStyle w:val="FormaLivreAA"/>
        <w:spacing w:before="120" w:after="120" w:line="360" w:lineRule="auto"/>
        <w:ind w:left="567" w:firstLine="113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Na adolescência, a sexualidade se potencializa bastante, gerando uma série de confusões e dúvidas. A sociedade brasileira é movida por vários preconceitos acerca do tema, não orientando bem os adolescentes, nem estimulando-os a buscarem as soluções para esses questionamentos, por considerar que esse direito se refere apenas a adultos e ao ato sexual.</w:t>
      </w:r>
    </w:p>
    <w:p w:rsidR="00211AE2" w:rsidRDefault="00152EB4">
      <w:pPr>
        <w:pStyle w:val="FormaLivreAA"/>
        <w:spacing w:before="120" w:after="120" w:line="360" w:lineRule="auto"/>
        <w:ind w:left="567" w:firstLine="1134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É relevante a correta prestação da informação acerca da sexualidade, principalmente, para crianças e adolescentes, pois a ausência de orientação ou a presença de forma inadequada, além de ser uma violação ao direito sexual, pode acarretar muitos riscos, como gravidez precoce, doenças sexualmente transmissíveis (</w:t>
      </w:r>
      <w:proofErr w:type="spellStart"/>
      <w:r>
        <w:rPr>
          <w:rFonts w:ascii="Times New Roman" w:hAnsi="Times New Roman"/>
          <w:lang w:val="pt-BR"/>
        </w:rPr>
        <w:t>DSTs</w:t>
      </w:r>
      <w:proofErr w:type="spellEnd"/>
      <w:r>
        <w:rPr>
          <w:rFonts w:ascii="Times New Roman" w:hAnsi="Times New Roman"/>
          <w:lang w:val="pt-BR"/>
        </w:rPr>
        <w:t>), abortos, mortalidade infantil e materna.</w:t>
      </w:r>
    </w:p>
    <w:p w:rsidR="00211AE2" w:rsidRDefault="00152EB4">
      <w:pPr>
        <w:spacing w:before="120" w:after="120" w:line="360" w:lineRule="auto"/>
        <w:ind w:left="567" w:firstLine="1134"/>
        <w:jc w:val="both"/>
        <w:rPr>
          <w:sz w:val="20"/>
          <w:lang w:val="pt-BR"/>
        </w:rPr>
      </w:pPr>
      <w:r>
        <w:rPr>
          <w:lang w:val="pt-BR"/>
        </w:rPr>
        <w:t xml:space="preserve">No Brasil, os dados são preocupantes, a exemplo do número de crianças de 10 a 14 anos que deram à luz a mais de 27 mil bebês em 2006, último ano analisado pela pesquisa de Indicadores Sociodemográficos e de Saúde no Brasil, publicado em 2009: “dos nascidos vivos notificados ao SINASC, eram filhos de mães do grupo etário de 10 a 14 anos 27. 610, enquanto 605. 270 eram de mães com idade de 15 a 19 anos [...]”. (IBGE, 2009, </w:t>
      </w:r>
      <w:proofErr w:type="spellStart"/>
      <w:r w:rsidRPr="00152EB4">
        <w:rPr>
          <w:rFonts w:ascii="Times New Roman Italic" w:hAnsi="Times New Roman Italic"/>
          <w:i/>
          <w:lang w:val="pt-BR"/>
        </w:rPr>
        <w:t>on</w:t>
      </w:r>
      <w:proofErr w:type="spellEnd"/>
      <w:r w:rsidRPr="00152EB4">
        <w:rPr>
          <w:rFonts w:ascii="Times New Roman Italic" w:hAnsi="Times New Roman Italic"/>
          <w:i/>
          <w:lang w:val="pt-BR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lang w:val="pt-BR"/>
        </w:rPr>
        <w:t>line</w:t>
      </w:r>
      <w:proofErr w:type="spellEnd"/>
      <w:r>
        <w:rPr>
          <w:lang w:val="pt-BR"/>
        </w:rPr>
        <w:t>).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</w:pPr>
      <w:r>
        <w:t xml:space="preserve">Os últimos dados fornecidos pelo IBGE/IPEA indicam crescimento da taxa de fecundidade entre adolescentes de baixa renda no Brasil, apesar da taxa de fecundidade do País ter caído no mesmo período. </w:t>
      </w:r>
    </w:p>
    <w:p w:rsidR="00211AE2" w:rsidRDefault="00152EB4">
      <w:pPr>
        <w:pStyle w:val="NormalWeb1"/>
        <w:shd w:val="clear" w:color="auto" w:fill="FFFFFF"/>
        <w:spacing w:before="0" w:after="240"/>
        <w:ind w:left="2835"/>
        <w:jc w:val="both"/>
        <w:rPr>
          <w:rFonts w:ascii="Times New Roman Italic" w:hAnsi="Times New Roman Italic"/>
          <w:sz w:val="20"/>
        </w:rPr>
      </w:pPr>
      <w:r>
        <w:rPr>
          <w:sz w:val="20"/>
        </w:rPr>
        <w:t xml:space="preserve">Mesmo havendo uma queda na fecundidade em todo o Brasil, no entanto é preocupante a gravidez em adolescentes em situação de vulnerabilidade social. Conforme dados do Instituto Brasileiro de Geografia e </w:t>
      </w:r>
      <w:r>
        <w:rPr>
          <w:sz w:val="20"/>
        </w:rPr>
        <w:lastRenderedPageBreak/>
        <w:t>Estatística/Instituto de Pesquisa Econômica Aplicada (IBGE/IPEA), a taxa de fecundidade adolescente, em 2006 cresceu em 0,14 nas classes econômicas mais baixas.</w:t>
      </w:r>
      <w:r>
        <w:t xml:space="preserve"> </w:t>
      </w:r>
      <w:r>
        <w:rPr>
          <w:sz w:val="20"/>
        </w:rPr>
        <w:t xml:space="preserve">(BRASIL. Ministério da Saúde, 2009, </w:t>
      </w:r>
      <w:proofErr w:type="spellStart"/>
      <w:r w:rsidRPr="00152EB4">
        <w:rPr>
          <w:rFonts w:ascii="Times New Roman Italic" w:hAnsi="Times New Roman Italic"/>
          <w:i/>
          <w:sz w:val="20"/>
        </w:rPr>
        <w:t>on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line</w:t>
      </w:r>
      <w:proofErr w:type="spellEnd"/>
      <w:r>
        <w:rPr>
          <w:rFonts w:ascii="Times New Roman Italic" w:hAnsi="Times New Roman Italic"/>
          <w:sz w:val="20"/>
        </w:rPr>
        <w:t>).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</w:pPr>
      <w:r>
        <w:t xml:space="preserve">Além disso, informações do Ministério da Saúde brasileiro confirmam o alto percentual de gestações entre crianças e adolescentes: “Em 2007 ocorreram 2.795.207 de nascimentos no país, dos quais 594.205 (21,3%) foram de mães com idade entre 10 e 19 anos”. (BRASIL. Ministério da Saúde, 2009, </w:t>
      </w:r>
      <w:proofErr w:type="spellStart"/>
      <w:r w:rsidRPr="00152EB4">
        <w:rPr>
          <w:rFonts w:ascii="Times New Roman Italic" w:hAnsi="Times New Roman Italic"/>
          <w:i/>
        </w:rPr>
        <w:t>on</w:t>
      </w:r>
      <w:proofErr w:type="spellEnd"/>
      <w:r w:rsidRPr="00152EB4">
        <w:rPr>
          <w:rFonts w:ascii="Times New Roman Italic" w:hAnsi="Times New Roman Italic"/>
          <w:i/>
        </w:rPr>
        <w:t xml:space="preserve"> </w:t>
      </w:r>
      <w:proofErr w:type="spellStart"/>
      <w:r w:rsidRPr="00152EB4">
        <w:rPr>
          <w:rFonts w:ascii="Times New Roman Italic" w:hAnsi="Times New Roman Italic"/>
          <w:i/>
        </w:rPr>
        <w:t>line</w:t>
      </w:r>
      <w:proofErr w:type="spellEnd"/>
      <w:r>
        <w:rPr>
          <w:rFonts w:ascii="Times New Roman Italic" w:hAnsi="Times New Roman Italic"/>
        </w:rPr>
        <w:t>)</w:t>
      </w:r>
      <w:r>
        <w:t xml:space="preserve">. 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Atualizando esses dados, esse percentual pouco mudou. Do total de 2.747.373 de nascidos vivos no ano de 2010, 21.916 são de mães menores de 15 anos e 484.273, de mães entre 15 e 19 anos, equivalendo a aproximadamente 18%. </w:t>
      </w:r>
      <w:r>
        <w:rPr>
          <w:shd w:val="clear" w:color="auto" w:fill="FFFFFF"/>
          <w:vertAlign w:val="superscript"/>
        </w:rPr>
        <w:footnoteReference w:id="3"/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>
        <w:rPr>
          <w:lang w:val="pt-PT"/>
        </w:rPr>
        <w:t>Riscos advindos de uma gestação indesejada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</w:pPr>
      <w:r>
        <w:t>Esclareça-se que a mortalidade materna está relacionada ao alto índice de gravidezes na adolescência, as quais, por serem gestações de risco, em razão da precocidade com que se dão, maximizam o risco de morte das parturientes</w:t>
      </w:r>
      <w:r>
        <w:rPr>
          <w:rStyle w:val="Refdenotaderodap1"/>
          <w:sz w:val="24"/>
        </w:rPr>
        <w:footnoteReference w:id="4"/>
      </w:r>
      <w:r>
        <w:t>.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>Dos óbitos fetais, com 28 semanas ou mais, ocorridos em 2010, calcula-se que, de um total de 14.922 óbitos fetais, 1.970 acontecem em mães entre 15 e 19 anos (o valor mais alto, comparado entre os outros grupos etários), e 87, em mães com menos de 15 anos.</w:t>
      </w:r>
      <w:r>
        <w:rPr>
          <w:shd w:val="clear" w:color="auto" w:fill="FFFFFF"/>
          <w:vertAlign w:val="superscript"/>
        </w:rPr>
        <w:footnoteReference w:id="5"/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>Esse indicativo é intrigante. Questiona-se por que o número de óbitos fetais entre mães jovens é o mais alto. Essas provavelmente devem ser mais vulneráveis do que mães de faixa etária mais avançada.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Oliveira (1998) constatou, por meio de uma enquete realizada pelo Conselho Nacional dos Direitos da Mulher sobre mortes de adolescentes em 1989, que 20% dos óbitos nessa idade são causadas por aborto, e observou, através de dados do Ministério da Saúde que 14,8% de  falecimentos maternos se reportam a mães de 10 a </w:t>
      </w:r>
      <w:r>
        <w:rPr>
          <w:shd w:val="clear" w:color="auto" w:fill="FFFFFF"/>
        </w:rPr>
        <w:lastRenderedPageBreak/>
        <w:t xml:space="preserve">19 anos, sendo 35,12% causadas por distúrbios hipertensivos da gravidez. A mesma autora relatou que: </w:t>
      </w:r>
    </w:p>
    <w:p w:rsidR="00211AE2" w:rsidRDefault="00152EB4">
      <w:pPr>
        <w:pStyle w:val="NormalWeb1"/>
        <w:shd w:val="clear" w:color="auto" w:fill="FFFFFF"/>
        <w:spacing w:before="0" w:after="240"/>
        <w:ind w:left="2835"/>
        <w:jc w:val="both"/>
        <w:rPr>
          <w:sz w:val="20"/>
        </w:rPr>
      </w:pPr>
      <w:r>
        <w:rPr>
          <w:sz w:val="20"/>
        </w:rPr>
        <w:t xml:space="preserve">Em 1990, o risco de morte de meninas de 10 a 14 anos foi cinco vezes maior do que o de meninas de 15 a 19 anos. O risco das meninas de 15 a 19 anos foi duas vezes maior do que o das adultas (SOF 1997). O maior risco se deve, em parte, às condições ou desenvolvimento físico. (OLIVEIRA, 1998, </w:t>
      </w:r>
      <w:proofErr w:type="spellStart"/>
      <w:r w:rsidRPr="00152EB4">
        <w:rPr>
          <w:rFonts w:ascii="Times New Roman Italic" w:hAnsi="Times New Roman Italic"/>
          <w:i/>
          <w:sz w:val="20"/>
        </w:rPr>
        <w:t>on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line</w:t>
      </w:r>
      <w:proofErr w:type="spellEnd"/>
      <w:r>
        <w:rPr>
          <w:sz w:val="20"/>
        </w:rPr>
        <w:t>)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  <w:rPr>
          <w:sz w:val="20"/>
        </w:rPr>
      </w:pPr>
      <w:r>
        <w:t>Esses dados revelados pelo</w:t>
      </w:r>
      <w:r>
        <w:rPr>
          <w:sz w:val="20"/>
        </w:rPr>
        <w:t xml:space="preserve"> </w:t>
      </w:r>
      <w:proofErr w:type="spellStart"/>
      <w:r>
        <w:t>Sempreviva</w:t>
      </w:r>
      <w:proofErr w:type="spellEnd"/>
      <w:r>
        <w:t xml:space="preserve"> Organização Feminista (SOF) comprovam que grávidas de 10 a 19 anos são mais suscetíveis a riscos de saúde do que grávidas de idade mais avançada.</w:t>
      </w:r>
    </w:p>
    <w:p w:rsidR="00211AE2" w:rsidRDefault="00152EB4">
      <w:pPr>
        <w:pStyle w:val="FormaLivreA"/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Oliveira (1998,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 destacou também:</w:t>
      </w:r>
    </w:p>
    <w:p w:rsidR="00211AE2" w:rsidRDefault="00152EB4">
      <w:pPr>
        <w:pStyle w:val="FormaLivreA"/>
        <w:spacing w:after="240"/>
        <w:ind w:left="2835"/>
        <w:jc w:val="both"/>
        <w:rPr>
          <w:rFonts w:ascii="Times New Roman" w:hAnsi="Times New Roman"/>
          <w:shd w:val="clear" w:color="auto" w:fill="C0EDFE"/>
        </w:rPr>
      </w:pPr>
      <w:r>
        <w:rPr>
          <w:rFonts w:ascii="Times New Roman" w:hAnsi="Times New Roman"/>
          <w:sz w:val="20"/>
        </w:rPr>
        <w:t>Seis complicações de saúde relacionadas à gravidez precoce: Uma delas, decorrente da imaturidade anátomo-fisiológica, é o baixo peso ao nascer e a prematuridade do bebê. A segunda é a toxemia gravídica, que aparece nos últimos três meses de gestação e principalmente na primeira gravidez das jovens podendo ocorrer desde pré-eclâmpsia, eclâmpsia, convulsão até coma e alto risco de morte da mãe e do bebê. Uma terceira complicação pode ocorrer no momento do parto, o qual pode ser prematuro, demorado, com necessidade de cesária e com risco de ruptura do colo do útero. A quarta complicação são as infecções urogenitais especialmente decorrentes de parto feito em más condições. Risco de anemia seria a quinta complicação, já que naturalmente a adolescente, em fase de crescimento, necessita de boa alimentação. Na gravidez, essa necessidade se intensifica e o seu não-atendimento pode ocasionar anemia, prematuridade no parto e baixo peso do bebê. Finalmente, a gravidez pode ocasionar retardo do desenvolvimento uterino.</w:t>
      </w:r>
    </w:p>
    <w:p w:rsidR="00211AE2" w:rsidRDefault="00152EB4">
      <w:pPr>
        <w:pStyle w:val="NormalWeb1"/>
        <w:shd w:val="clear" w:color="auto" w:fill="FFFFFF"/>
        <w:spacing w:before="120" w:after="120" w:line="360" w:lineRule="auto"/>
        <w:ind w:left="567" w:firstLine="1134"/>
        <w:jc w:val="both"/>
        <w:rPr>
          <w:sz w:val="20"/>
        </w:rPr>
      </w:pPr>
      <w:r>
        <w:t xml:space="preserve">Diante dos dados expostos acerca dos riscos, é importante ressalvar que os três últimos citados pela autora podem ser evitados, caso essas jovens façam o devido pré-natal,  porém, muitas vezes, não o fazem. 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CONSIDERAÇÕES FINAIS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do exposto, foi possível constatar que a gravidez precoce é uma realidade atual, que infringe os direitos sexuais e reprodutivos da criança e do adolescente. Além disso, observou-se que a gestação nessa faixa etária acarreta uma série de riscos, como elevada taxa de  mortalidade materna, de abortos e de doenças sexualmente transmissíveis.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120" w:line="360" w:lineRule="auto"/>
        <w:ind w:left="56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Tendo em vista se tratar de um direito fundamental, especificamente, direito à saúde, voltado à criança e ao adolescente, é interessante a implantação de eficazes políticas públicas  voltadas a esse público alvo, nas quais se aborde o completo planejamento familiar, como tentativa de redução desses índices.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REFERÊNCIAS</w:t>
      </w:r>
    </w:p>
    <w:p w:rsidR="00211AE2" w:rsidRPr="00152EB4" w:rsidRDefault="00152EB4" w:rsidP="00152EB4">
      <w:pPr>
        <w:spacing w:after="240"/>
        <w:ind w:left="567"/>
        <w:jc w:val="both"/>
        <w:rPr>
          <w:lang w:val="pt-BR"/>
        </w:rPr>
      </w:pPr>
      <w:r>
        <w:rPr>
          <w:lang w:val="pt-BR"/>
        </w:rPr>
        <w:t>BRASIL. Ministério da Saúde. Gravidez na adolescência</w:t>
      </w:r>
      <w:r w:rsidRPr="00152EB4">
        <w:rPr>
          <w:b/>
          <w:lang w:val="pt-BR"/>
        </w:rPr>
        <w:t>. Portal da Saúde</w:t>
      </w:r>
      <w:r>
        <w:rPr>
          <w:rFonts w:ascii="Times New Roman Bold" w:hAnsi="Times New Roman Bold"/>
          <w:lang w:val="pt-BR"/>
        </w:rPr>
        <w:t>.</w:t>
      </w:r>
      <w:r>
        <w:rPr>
          <w:lang w:val="pt-BR"/>
        </w:rPr>
        <w:t xml:space="preserve"> Disponível em: &lt;</w:t>
      </w:r>
      <w:r w:rsidR="00211AE2">
        <w:fldChar w:fldCharType="begin"/>
      </w:r>
      <w:r w:rsidR="00211AE2" w:rsidRPr="009F3C27">
        <w:rPr>
          <w:lang w:val="pt-BR"/>
        </w:rPr>
        <w:instrText>HYPERLINK "http://portal.saude.gov.br/portal/saude/visualizar_texto.cfm?idtxt=33728&amp;janela=1"</w:instrText>
      </w:r>
      <w:r w:rsidR="00211AE2">
        <w:fldChar w:fldCharType="separate"/>
      </w:r>
      <w:r>
        <w:rPr>
          <w:rStyle w:val="Hyperlink1"/>
          <w:color w:val="000000"/>
          <w:sz w:val="24"/>
          <w:u w:val="none"/>
          <w:lang w:val="pt-BR"/>
        </w:rPr>
        <w:t>http://portal.saude.gov.br/portal/saude/visualizar_texto.cfm?idtxt=33728&amp;janela=1</w:t>
      </w:r>
      <w:r w:rsidR="00211AE2">
        <w:fldChar w:fldCharType="end"/>
      </w:r>
      <w:r>
        <w:rPr>
          <w:lang w:val="pt-BR"/>
        </w:rPr>
        <w:t>&gt;. Acesso em: 10 jan. 2013.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ind w:left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IINSTITUTO BRASILEIRO DE GEOGRAFIA E ESTATÍSTICA - IBGE.</w:t>
      </w:r>
      <w:r>
        <w:rPr>
          <w:rFonts w:ascii="Times New Roman Bold" w:hAnsi="Times New Roman Bold"/>
          <w:lang w:val="pt-BR"/>
        </w:rPr>
        <w:t xml:space="preserve"> </w:t>
      </w:r>
      <w:r w:rsidRPr="00152EB4">
        <w:rPr>
          <w:rFonts w:ascii="Times New Roman Bold" w:hAnsi="Times New Roman Bold"/>
          <w:b/>
          <w:lang w:val="pt-BR"/>
        </w:rPr>
        <w:t>Estatísticas do registro civil</w:t>
      </w:r>
      <w:r>
        <w:rPr>
          <w:rFonts w:ascii="Times New Roman Bold" w:hAnsi="Times New Roman Bold"/>
          <w:lang w:val="pt-BR"/>
        </w:rPr>
        <w:t xml:space="preserve">. </w:t>
      </w:r>
      <w:r>
        <w:rPr>
          <w:rFonts w:ascii="Times New Roman" w:hAnsi="Times New Roman"/>
        </w:rPr>
        <w:t>Rio de Janeiro, v. 37, p.1- 178, 201</w:t>
      </w:r>
      <w:r>
        <w:rPr>
          <w:rFonts w:ascii="Times New Roman" w:hAnsi="Times New Roman"/>
          <w:lang w:val="pt-BR"/>
        </w:rPr>
        <w:t>0. Disponível em: &lt;</w:t>
      </w:r>
      <w:hyperlink r:id="rId6" w:history="1">
        <w:r>
          <w:rPr>
            <w:rFonts w:ascii="Times New Roman" w:hAnsi="Times New Roman"/>
            <w:lang w:val="pt-BR"/>
          </w:rPr>
          <w:t>http://www.ibge.gov.br/english/estatistica/populacao/registrocivil/2010/rc2010.pdf</w:t>
        </w:r>
      </w:hyperlink>
      <w:r>
        <w:rPr>
          <w:rFonts w:ascii="Times New Roman" w:hAnsi="Times New Roman"/>
          <w:lang w:val="pt-BR"/>
        </w:rPr>
        <w:t xml:space="preserve"> &gt; Acesso em: 3 jan. 2013.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ind w:left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______. Indicadores sociodemográficos e de saúde no Brasil. </w:t>
      </w:r>
      <w:r w:rsidRPr="00152EB4">
        <w:rPr>
          <w:rFonts w:ascii="Times New Roman Bold" w:hAnsi="Times New Roman Bold"/>
          <w:b/>
          <w:lang w:val="pt-BR"/>
        </w:rPr>
        <w:t>Estudos e pesquisas informação demográfica e socioeconômica</w:t>
      </w:r>
      <w:r>
        <w:rPr>
          <w:rFonts w:ascii="Times New Roman Bold" w:hAnsi="Times New Roman Bold"/>
          <w:lang w:val="pt-BR"/>
        </w:rPr>
        <w:t>.</w:t>
      </w:r>
      <w:r>
        <w:rPr>
          <w:rFonts w:ascii="Times New Roman" w:hAnsi="Times New Roman"/>
          <w:lang w:val="pt-BR"/>
        </w:rPr>
        <w:t xml:space="preserve"> Rio de Janeiro, n. 25, 2009. Disponível em: &lt;</w:t>
      </w:r>
      <w:hyperlink r:id="rId7" w:history="1">
        <w:r>
          <w:rPr>
            <w:rFonts w:ascii="Times New Roman" w:hAnsi="Times New Roman"/>
            <w:lang w:val="pt-BR"/>
          </w:rPr>
          <w:t>http://www.ibge.gov.br/home/estatistica/populacao/indic_sociosaude/2009/indicsaude.pdf</w:t>
        </w:r>
      </w:hyperlink>
      <w:r>
        <w:rPr>
          <w:rFonts w:ascii="Times New Roman" w:hAnsi="Times New Roman"/>
          <w:lang w:val="pt-BR"/>
        </w:rPr>
        <w:t>&gt; Acesso em: 20 set. 2012.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MORAES, Silvia Piedade de; VITALLE, Maria Sylvia de Souza. Direitos sexuais e reprodutivos na adolescência.</w:t>
      </w:r>
      <w:r>
        <w:rPr>
          <w:rFonts w:ascii="Times New Roman Bold" w:hAnsi="Times New Roman Bold"/>
        </w:rPr>
        <w:t xml:space="preserve"> </w:t>
      </w:r>
      <w:r w:rsidRPr="00152EB4">
        <w:rPr>
          <w:rFonts w:ascii="Times New Roman Bold" w:hAnsi="Times New Roman Bold"/>
          <w:b/>
        </w:rPr>
        <w:t>Rev. Assoc. Med. Bras</w:t>
      </w:r>
      <w:r>
        <w:rPr>
          <w:rFonts w:ascii="Times New Roman Bold" w:hAnsi="Times New Roman Bold"/>
        </w:rPr>
        <w:t>.</w:t>
      </w:r>
      <w:r>
        <w:rPr>
          <w:rFonts w:ascii="Times New Roman" w:hAnsi="Times New Roman"/>
        </w:rPr>
        <w:t>, São Paulo, v. 58, n. 1, fev. 2012.   Disponível em: &lt;</w:t>
      </w:r>
      <w:r w:rsidR="00211AE2">
        <w:fldChar w:fldCharType="begin"/>
      </w:r>
      <w:r>
        <w:instrText xml:space="preserve"> HYPERLINK "http://www.scielo.br/scielo.php?script=sci_arttext&amp;pid=S0104-42302012000100014&amp;lng=pt&amp;nrm=iso" </w:instrText>
      </w:r>
      <w:r w:rsidR="00211AE2">
        <w:fldChar w:fldCharType="separate"/>
      </w:r>
      <w:r>
        <w:rPr>
          <w:rFonts w:ascii="Times New Roman" w:hAnsi="Times New Roman"/>
        </w:rPr>
        <w:t>http://www.scielo.br/scielo.php?script=sci_arttext&amp;pid=S0104-42302012000100014&amp;lng=pt&amp;nrm=iso</w:t>
      </w:r>
      <w:r w:rsidR="00211AE2">
        <w:fldChar w:fldCharType="end"/>
      </w:r>
      <w:r>
        <w:rPr>
          <w:rFonts w:ascii="Times New Roman" w:hAnsi="Times New Roman"/>
        </w:rPr>
        <w:t>&gt;. Acesso em:  7  maio  2013. </w:t>
      </w:r>
    </w:p>
    <w:p w:rsidR="00211AE2" w:rsidRDefault="00152EB4">
      <w:pPr>
        <w:pStyle w:val="FormaLivreA"/>
        <w:spacing w:after="240"/>
        <w:ind w:left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OLIVEIRA, Maria Waldenez de. Gravidez na adolescência: Dimensões do problema. </w:t>
      </w:r>
      <w:r w:rsidRPr="00152EB4">
        <w:rPr>
          <w:rFonts w:ascii="Times New Roman Bold" w:hAnsi="Times New Roman Bold"/>
          <w:b/>
        </w:rPr>
        <w:t>Cad. CEDES</w:t>
      </w:r>
      <w:r>
        <w:rPr>
          <w:rFonts w:ascii="Times New Roman" w:hAnsi="Times New Roman"/>
        </w:rPr>
        <w:t>,  Campinas,  v. 19,  n. 45, jul. 1998. Disponível em: &lt;</w:t>
      </w:r>
      <w:r w:rsidR="00211AE2">
        <w:fldChar w:fldCharType="begin"/>
      </w:r>
      <w:r>
        <w:instrText xml:space="preserve"> HYPERLINK "http://www.scielo.br/scielo.php?script=sci_arttext&amp;pid=S0101-32621998000200004&amp;lng=en&amp;nrm=iso" </w:instrText>
      </w:r>
      <w:r w:rsidR="00211AE2">
        <w:fldChar w:fldCharType="separate"/>
      </w:r>
      <w:r>
        <w:rPr>
          <w:rFonts w:ascii="Times New Roman" w:hAnsi="Times New Roman"/>
        </w:rPr>
        <w:t>http://www.scielo.br/scielo.php?script=sci_arttext&amp;pid=S0101-32621998000200004&amp;lng=en&amp;nrm=iso</w:t>
      </w:r>
      <w:r w:rsidR="00211AE2">
        <w:fldChar w:fldCharType="end"/>
      </w:r>
      <w:r>
        <w:rPr>
          <w:rFonts w:ascii="Times New Roman" w:hAnsi="Times New Roman"/>
        </w:rPr>
        <w:t xml:space="preserve">&gt;. </w:t>
      </w:r>
      <w:proofErr w:type="spellStart"/>
      <w:r>
        <w:rPr>
          <w:rFonts w:ascii="Times New Roman" w:hAnsi="Times New Roman"/>
          <w:lang w:val="en-US"/>
        </w:rPr>
        <w:t>Acesso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em</w:t>
      </w:r>
      <w:proofErr w:type="spellEnd"/>
      <w:r>
        <w:rPr>
          <w:rFonts w:ascii="Times New Roman" w:hAnsi="Times New Roman"/>
          <w:lang w:val="en-US"/>
        </w:rPr>
        <w:t>: 7 </w:t>
      </w:r>
      <w:proofErr w:type="spellStart"/>
      <w:r>
        <w:rPr>
          <w:rFonts w:ascii="Times New Roman" w:hAnsi="Times New Roman"/>
          <w:lang w:val="en-US"/>
        </w:rPr>
        <w:t>maio</w:t>
      </w:r>
      <w:proofErr w:type="spellEnd"/>
      <w:r>
        <w:rPr>
          <w:rFonts w:ascii="Times New Roman" w:hAnsi="Times New Roman"/>
          <w:lang w:val="en-US"/>
        </w:rPr>
        <w:t xml:space="preserve"> 2013. 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PAN AMERICAN HEALTH ORGANIZATION. Health in the Americas, v. 2, p. 620-744, 2007. </w:t>
      </w:r>
      <w:r>
        <w:rPr>
          <w:rFonts w:ascii="Times New Roman" w:hAnsi="Times New Roman"/>
          <w:lang w:val="pt-BR"/>
        </w:rPr>
        <w:t>Disponível em: &lt;</w:t>
      </w:r>
      <w:hyperlink r:id="rId8" w:history="1">
        <w:r>
          <w:rPr>
            <w:rFonts w:ascii="Times New Roman" w:hAnsi="Times New Roman"/>
            <w:lang w:val="pt-BR"/>
          </w:rPr>
          <w:t>http://www.bvsde.paho.org/bvsacd/cd50/saludA2007eng/p4slucia-vene.pdf</w:t>
        </w:r>
      </w:hyperlink>
      <w:r>
        <w:rPr>
          <w:rFonts w:ascii="Times New Roman" w:hAnsi="Times New Roman"/>
          <w:lang w:val="pt-BR"/>
        </w:rPr>
        <w:t xml:space="preserve"> &gt;. Acesso em: 3 jan. 2013</w:t>
      </w:r>
    </w:p>
    <w:p w:rsidR="00211AE2" w:rsidRDefault="00152EB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YANO, Karen Murakami; RIBEIRO, Moneda Oliveira. O desenvolvimento da sexualidade de crianças em situação de risco.</w:t>
      </w:r>
      <w:r>
        <w:rPr>
          <w:rFonts w:ascii="Times New Roman Bold" w:hAnsi="Times New Roman Bold"/>
        </w:rPr>
        <w:t xml:space="preserve"> </w:t>
      </w:r>
      <w:r w:rsidRPr="00152EB4">
        <w:rPr>
          <w:rFonts w:ascii="Times New Roman Bold" w:hAnsi="Times New Roman Bold"/>
          <w:b/>
        </w:rPr>
        <w:t>Rev. esc. enferm</w:t>
      </w:r>
      <w:r>
        <w:rPr>
          <w:rFonts w:ascii="Times New Roman Bold" w:hAnsi="Times New Roman Bold"/>
        </w:rPr>
        <w:t>. USP</w:t>
      </w:r>
      <w:r>
        <w:rPr>
          <w:rFonts w:ascii="Times New Roman" w:hAnsi="Times New Roman"/>
        </w:rPr>
        <w:t>,  São Paulo,  v. 45,  n. 6, dez.  2011.   Disponível em: &lt;</w:t>
      </w:r>
      <w:hyperlink r:id="rId9" w:history="1">
        <w:r>
          <w:rPr>
            <w:rFonts w:ascii="Times New Roman" w:hAnsi="Times New Roman"/>
          </w:rPr>
          <w:t>http://www.scielo.br/scielo.php?script=sci_arttext&amp;pid=S0080-62342011000600006&amp;lng=en&amp;nrm=iso</w:t>
        </w:r>
      </w:hyperlink>
      <w:r>
        <w:rPr>
          <w:rFonts w:ascii="Times New Roman" w:hAnsi="Times New Roman"/>
        </w:rPr>
        <w:t>&gt;. Accesso em: 7  maio 2013. </w:t>
      </w:r>
    </w:p>
    <w:p w:rsidR="00211AE2" w:rsidRDefault="00211AE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 w:line="360" w:lineRule="auto"/>
        <w:ind w:left="567"/>
        <w:jc w:val="both"/>
        <w:rPr>
          <w:rFonts w:ascii="Times New Roman" w:hAnsi="Times New Roman"/>
        </w:rPr>
      </w:pPr>
    </w:p>
    <w:p w:rsidR="00211AE2" w:rsidRDefault="00211AE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67"/>
        <w:rPr>
          <w:rFonts w:ascii="Times New Roman" w:eastAsia="Times New Roman" w:hAnsi="Times New Roman"/>
          <w:color w:val="auto"/>
          <w:sz w:val="20"/>
          <w:lang w:val="pt-BR"/>
        </w:rPr>
      </w:pPr>
    </w:p>
    <w:sectPr w:rsidR="00211AE2" w:rsidSect="00152EB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34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5F" w:rsidRDefault="00331D5F">
      <w:r>
        <w:separator/>
      </w:r>
    </w:p>
  </w:endnote>
  <w:endnote w:type="continuationSeparator" w:id="0">
    <w:p w:rsidR="00331D5F" w:rsidRDefault="0033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E2" w:rsidRDefault="00211AE2">
    <w:pPr>
      <w:pStyle w:val="CabealhoeRodap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E2" w:rsidRDefault="00211AE2">
    <w:pPr>
      <w:pStyle w:val="CabealhoeRodap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5F" w:rsidRDefault="00331D5F">
      <w:r>
        <w:separator/>
      </w:r>
    </w:p>
  </w:footnote>
  <w:footnote w:type="continuationSeparator" w:id="0">
    <w:p w:rsidR="00331D5F" w:rsidRDefault="00331D5F">
      <w:r>
        <w:continuationSeparator/>
      </w:r>
    </w:p>
  </w:footnote>
  <w:footnote w:id="1">
    <w:p w:rsidR="00211AE2" w:rsidRDefault="00152EB4">
      <w:pPr>
        <w:pStyle w:val="TextodeNotaA"/>
        <w:rPr>
          <w:rFonts w:ascii="Times New Roman" w:eastAsia="Times New Roman" w:hAnsi="Times New Roman"/>
          <w:color w:val="auto"/>
          <w:lang w:val="pt-BR"/>
        </w:rPr>
      </w:pPr>
      <w:r>
        <w:rPr>
          <w:vertAlign w:val="superscript"/>
        </w:rPr>
        <w:footnoteRef/>
      </w:r>
      <w:r>
        <w:t xml:space="preserve"> Graduanda de Direito da Universidade de Fortaleza. </w:t>
      </w:r>
      <w:r w:rsidR="00211AE2">
        <w:fldChar w:fldCharType="begin"/>
      </w:r>
      <w:r>
        <w:instrText xml:space="preserve"> HYPERLINK "mailto:jessicamatos_@hotmail.com" </w:instrText>
      </w:r>
      <w:r w:rsidR="00211AE2">
        <w:fldChar w:fldCharType="separate"/>
      </w:r>
      <w:r>
        <w:rPr>
          <w:color w:val="000099"/>
          <w:u w:val="single"/>
        </w:rPr>
        <w:t>j</w:t>
      </w:r>
      <w:r>
        <w:t>essicamatos_@hotmail.com</w:t>
      </w:r>
      <w:r w:rsidR="00211AE2">
        <w:fldChar w:fldCharType="end"/>
      </w:r>
    </w:p>
  </w:footnote>
  <w:footnote w:id="2">
    <w:p w:rsidR="00211AE2" w:rsidRDefault="00152EB4">
      <w:pPr>
        <w:pStyle w:val="TextodeNotaA"/>
        <w:rPr>
          <w:rFonts w:ascii="Times New Roman" w:eastAsia="Times New Roman" w:hAnsi="Times New Roman"/>
          <w:color w:val="auto"/>
          <w:lang w:val="pt-BR"/>
        </w:rPr>
      </w:pPr>
      <w:r>
        <w:rPr>
          <w:vertAlign w:val="superscript"/>
        </w:rPr>
        <w:footnoteRef/>
      </w:r>
      <w:r>
        <w:t xml:space="preserve"> Mestra de Direito da Universidade de </w:t>
      </w:r>
      <w:r>
        <w:t xml:space="preserve">Fortaleza. </w:t>
      </w:r>
      <w:r w:rsidR="00211AE2">
        <w:fldChar w:fldCharType="begin"/>
      </w:r>
      <w:r>
        <w:instrText xml:space="preserve"> HYPERLINK "mailto:andradedenise@hotmail.com" </w:instrText>
      </w:r>
      <w:r w:rsidR="00211AE2">
        <w:fldChar w:fldCharType="separate"/>
      </w:r>
      <w:r>
        <w:t>andradedenise@hotmail.com</w:t>
      </w:r>
      <w:r w:rsidR="00211AE2">
        <w:fldChar w:fldCharType="end"/>
      </w:r>
    </w:p>
  </w:footnote>
  <w:footnote w:id="3">
    <w:p w:rsidR="00211AE2" w:rsidRDefault="00152EB4">
      <w:pPr>
        <w:pStyle w:val="TextodeNotaA"/>
        <w:jc w:val="both"/>
        <w:rPr>
          <w:rFonts w:ascii="Times New Roman" w:eastAsia="Times New Roman" w:hAnsi="Times New Roman"/>
          <w:color w:val="auto"/>
          <w:lang w:val="pt-BR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Estatísticas do Registro Civil de 2010, Tabela 1.4 - Nascidos vivos, ocorridos no ano, por grupos de idade da mãe na ocasião do parto, segundo o lugar de residência da mãe - 2010”. (IBGE, 2010, </w:t>
      </w:r>
      <w:r w:rsidRPr="00152EB4">
        <w:rPr>
          <w:rFonts w:ascii="Times New Roman Italic" w:hAnsi="Times New Roman Italic"/>
          <w:i/>
        </w:rPr>
        <w:t>on line</w:t>
      </w:r>
      <w:r>
        <w:rPr>
          <w:rFonts w:ascii="Times New Roman" w:hAnsi="Times New Roman"/>
        </w:rPr>
        <w:t>)</w:t>
      </w:r>
    </w:p>
  </w:footnote>
  <w:footnote w:id="4">
    <w:p w:rsidR="00211AE2" w:rsidRPr="009F3C27" w:rsidRDefault="00152EB4">
      <w:pPr>
        <w:pStyle w:val="NormalWeb1"/>
        <w:shd w:val="clear" w:color="auto" w:fill="FFFFFF"/>
        <w:spacing w:before="0" w:after="120"/>
        <w:jc w:val="both"/>
        <w:rPr>
          <w:rFonts w:eastAsia="Times New Roman"/>
          <w:color w:val="auto"/>
          <w:sz w:val="20"/>
          <w:lang w:val="en-US"/>
        </w:rPr>
      </w:pPr>
      <w:r>
        <w:rPr>
          <w:rStyle w:val="Refdenotaderodap1"/>
        </w:rPr>
        <w:footnoteRef/>
      </w:r>
      <w:r>
        <w:rPr>
          <w:sz w:val="20"/>
        </w:rPr>
        <w:t xml:space="preserve"> Em pese o Suriname compor a América Latina, importante destacar que segundo a </w:t>
      </w:r>
      <w:r>
        <w:rPr>
          <w:rFonts w:ascii="Times New Roman Italic" w:hAnsi="Times New Roman Italic"/>
          <w:sz w:val="20"/>
        </w:rPr>
        <w:t xml:space="preserve">Pan </w:t>
      </w:r>
      <w:proofErr w:type="spellStart"/>
      <w:r>
        <w:rPr>
          <w:rFonts w:ascii="Times New Roman Italic" w:hAnsi="Times New Roman Italic"/>
          <w:sz w:val="20"/>
        </w:rPr>
        <w:t>American</w:t>
      </w:r>
      <w:proofErr w:type="spellEnd"/>
      <w:r>
        <w:rPr>
          <w:rFonts w:ascii="Times New Roman Italic" w:hAnsi="Times New Roman Italic"/>
          <w:sz w:val="20"/>
        </w:rPr>
        <w:t xml:space="preserve"> </w:t>
      </w:r>
      <w:proofErr w:type="spellStart"/>
      <w:r>
        <w:rPr>
          <w:rFonts w:ascii="Times New Roman Italic" w:hAnsi="Times New Roman Italic"/>
          <w:sz w:val="20"/>
        </w:rPr>
        <w:t>Health</w:t>
      </w:r>
      <w:proofErr w:type="spellEnd"/>
      <w:r>
        <w:rPr>
          <w:rFonts w:ascii="Times New Roman Italic" w:hAnsi="Times New Roman Italic"/>
          <w:sz w:val="20"/>
        </w:rPr>
        <w:t xml:space="preserve"> </w:t>
      </w:r>
      <w:proofErr w:type="spellStart"/>
      <w:r>
        <w:rPr>
          <w:rFonts w:ascii="Times New Roman Italic" w:hAnsi="Times New Roman Italic"/>
          <w:sz w:val="20"/>
        </w:rPr>
        <w:t>Organization</w:t>
      </w:r>
      <w:proofErr w:type="spellEnd"/>
      <w:r>
        <w:rPr>
          <w:sz w:val="20"/>
        </w:rPr>
        <w:t xml:space="preserve"> (</w:t>
      </w:r>
      <w:proofErr w:type="spellStart"/>
      <w:r w:rsidRPr="00152EB4">
        <w:rPr>
          <w:rFonts w:ascii="Times New Roman Italic" w:hAnsi="Times New Roman Italic"/>
          <w:i/>
          <w:sz w:val="20"/>
        </w:rPr>
        <w:t>on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line</w:t>
      </w:r>
      <w:proofErr w:type="spellEnd"/>
      <w:r>
        <w:rPr>
          <w:sz w:val="20"/>
        </w:rPr>
        <w:t>), um percentual de quase 20% (vinte por cento) das gestações ocorre entre meninas de 15 a 17 anos: “</w:t>
      </w:r>
      <w:proofErr w:type="spellStart"/>
      <w:r w:rsidRPr="00152EB4">
        <w:rPr>
          <w:rFonts w:ascii="Times New Roman Italic" w:hAnsi="Times New Roman Italic"/>
          <w:i/>
          <w:sz w:val="20"/>
        </w:rPr>
        <w:t>The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establishment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of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reproductive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health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services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targeted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to </w:t>
      </w:r>
      <w:proofErr w:type="spellStart"/>
      <w:r w:rsidRPr="00152EB4">
        <w:rPr>
          <w:rFonts w:ascii="Times New Roman Italic" w:hAnsi="Times New Roman Italic"/>
          <w:i/>
          <w:sz w:val="20"/>
        </w:rPr>
        <w:t>adolescents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is a </w:t>
      </w:r>
      <w:proofErr w:type="spellStart"/>
      <w:r w:rsidRPr="00152EB4">
        <w:rPr>
          <w:rFonts w:ascii="Times New Roman Italic" w:hAnsi="Times New Roman Italic"/>
          <w:i/>
          <w:sz w:val="20"/>
        </w:rPr>
        <w:t>priority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z w:val="20"/>
        </w:rPr>
        <w:t>need</w:t>
      </w:r>
      <w:proofErr w:type="spellEnd"/>
      <w:r w:rsidRPr="00152EB4">
        <w:rPr>
          <w:rFonts w:ascii="Times New Roman Italic" w:hAnsi="Times New Roman Italic"/>
          <w:i/>
          <w:sz w:val="20"/>
        </w:rPr>
        <w:t xml:space="preserve">. </w:t>
      </w:r>
      <w:r w:rsidRPr="00152EB4">
        <w:rPr>
          <w:rFonts w:ascii="Times New Roman Italic" w:hAnsi="Times New Roman Italic"/>
          <w:i/>
          <w:sz w:val="20"/>
          <w:lang w:val="en-US"/>
        </w:rPr>
        <w:t xml:space="preserve">For the 2001–2004 period, an average of 16.7% of the total live births were to mothers between 15 and 17 years of age; 4.3% of all live births were to girls between the ages of 10 and 14. Most of these occurred in the Paramaribo and </w:t>
      </w:r>
      <w:proofErr w:type="spellStart"/>
      <w:r w:rsidRPr="00152EB4">
        <w:rPr>
          <w:rFonts w:ascii="Times New Roman Italic" w:hAnsi="Times New Roman Italic"/>
          <w:i/>
          <w:sz w:val="20"/>
          <w:lang w:val="en-US"/>
        </w:rPr>
        <w:t>Wanica</w:t>
      </w:r>
      <w:proofErr w:type="spellEnd"/>
      <w:r w:rsidRPr="00152EB4">
        <w:rPr>
          <w:rFonts w:ascii="Times New Roman Italic" w:hAnsi="Times New Roman Italic"/>
          <w:i/>
          <w:sz w:val="20"/>
          <w:lang w:val="en-US"/>
        </w:rPr>
        <w:t xml:space="preserve"> districts</w:t>
      </w:r>
      <w:r>
        <w:rPr>
          <w:sz w:val="20"/>
          <w:lang w:val="en-US"/>
        </w:rPr>
        <w:t>”.</w:t>
      </w:r>
    </w:p>
  </w:footnote>
  <w:footnote w:id="5">
    <w:p w:rsidR="00211AE2" w:rsidRDefault="00152EB4">
      <w:pPr>
        <w:pStyle w:val="TextodeNotaA"/>
        <w:jc w:val="both"/>
        <w:rPr>
          <w:rFonts w:ascii="Times New Roman" w:eastAsia="Times New Roman" w:hAnsi="Times New Roman"/>
          <w:color w:val="auto"/>
          <w:lang w:val="pt-BR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pt-BR"/>
        </w:rPr>
        <w:t>Estatíticas</w:t>
      </w:r>
      <w:proofErr w:type="spellEnd"/>
      <w:r>
        <w:rPr>
          <w:rFonts w:ascii="Times New Roman" w:hAnsi="Times New Roman"/>
          <w:shd w:val="clear" w:color="auto" w:fill="FFFFFF"/>
          <w:lang w:val="pt-BR"/>
        </w:rPr>
        <w:t xml:space="preserve"> do Registro Civil de 2010; Tabela 3.4: Óbitos fetais com 28 semanas ou mais, ocorridos e registrados no ano, por local de nascimento e sexo, segundo a idade da mãe na ocasião do parto - 2010. (IBGE, 2010, </w:t>
      </w:r>
      <w:proofErr w:type="spellStart"/>
      <w:r w:rsidRPr="00152EB4">
        <w:rPr>
          <w:rFonts w:ascii="Times New Roman Italic" w:hAnsi="Times New Roman Italic"/>
          <w:i/>
          <w:shd w:val="clear" w:color="auto" w:fill="FFFFFF"/>
          <w:lang w:val="pt-BR"/>
        </w:rPr>
        <w:t>on</w:t>
      </w:r>
      <w:proofErr w:type="spellEnd"/>
      <w:r w:rsidRPr="00152EB4">
        <w:rPr>
          <w:rFonts w:ascii="Times New Roman Italic" w:hAnsi="Times New Roman Italic"/>
          <w:i/>
          <w:shd w:val="clear" w:color="auto" w:fill="FFFFFF"/>
          <w:lang w:val="pt-BR"/>
        </w:rPr>
        <w:t xml:space="preserve"> </w:t>
      </w:r>
      <w:proofErr w:type="spellStart"/>
      <w:r w:rsidRPr="00152EB4">
        <w:rPr>
          <w:rFonts w:ascii="Times New Roman Italic" w:hAnsi="Times New Roman Italic"/>
          <w:i/>
          <w:shd w:val="clear" w:color="auto" w:fill="FFFFFF"/>
          <w:lang w:val="pt-BR"/>
        </w:rPr>
        <w:t>line</w:t>
      </w:r>
      <w:proofErr w:type="spellEnd"/>
      <w:r>
        <w:rPr>
          <w:rFonts w:ascii="Times New Roman" w:hAnsi="Times New Roman"/>
          <w:shd w:val="clear" w:color="auto" w:fill="FFFFFF"/>
          <w:lang w:val="pt-BR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E2" w:rsidRDefault="00211AE2">
    <w:pPr>
      <w:pStyle w:val="CabealhoeRodap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E2" w:rsidRDefault="00211AE2">
    <w:pPr>
      <w:pStyle w:val="CabealhoeRodap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oNotTrackMoves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B4"/>
    <w:rsid w:val="00152EB4"/>
    <w:rsid w:val="00211AE2"/>
    <w:rsid w:val="00331D5F"/>
    <w:rsid w:val="009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11AE2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A">
    <w:name w:val="Cabeçalho e Rodapé A"/>
    <w:rsid w:val="00211AE2"/>
    <w:pPr>
      <w:tabs>
        <w:tab w:val="right" w:pos="9632"/>
      </w:tabs>
    </w:pPr>
    <w:rPr>
      <w:rFonts w:ascii="Helvetica" w:eastAsia="ヒラギノ角ゴ Pro W3" w:hAnsi="Helvetica"/>
      <w:color w:val="000000"/>
      <w:lang w:val="pt-PT"/>
    </w:rPr>
  </w:style>
  <w:style w:type="paragraph" w:customStyle="1" w:styleId="TextodeNotaA">
    <w:name w:val="Texto de Nota A"/>
    <w:rsid w:val="00211AE2"/>
    <w:rPr>
      <w:rFonts w:ascii="Helvetica" w:eastAsia="ヒラギノ角ゴ Pro W3" w:hAnsi="Helvetica"/>
      <w:color w:val="000000"/>
      <w:lang w:val="pt-PT"/>
    </w:rPr>
  </w:style>
  <w:style w:type="paragraph" w:customStyle="1" w:styleId="CorpoA">
    <w:name w:val="Corpo A"/>
    <w:rsid w:val="00211AE2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A">
    <w:name w:val="Forma Livre A"/>
    <w:rsid w:val="00211AE2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AA">
    <w:name w:val="Forma Livre A A"/>
    <w:autoRedefine/>
    <w:rsid w:val="00211AE2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NormalWeb1">
    <w:name w:val="Normal (Web)1"/>
    <w:rsid w:val="00211AE2"/>
    <w:pPr>
      <w:suppressAutoHyphens/>
      <w:spacing w:before="280" w:after="280"/>
    </w:pPr>
    <w:rPr>
      <w:rFonts w:eastAsia="ヒラギノ角ゴ Pro W3"/>
      <w:color w:val="000000"/>
      <w:sz w:val="24"/>
    </w:rPr>
  </w:style>
  <w:style w:type="character" w:customStyle="1" w:styleId="Refdenotaderodap1">
    <w:name w:val="Ref. de nota de rodapé1"/>
    <w:rsid w:val="00211AE2"/>
    <w:rPr>
      <w:color w:val="000000"/>
      <w:sz w:val="20"/>
      <w:vertAlign w:val="superscript"/>
    </w:rPr>
  </w:style>
  <w:style w:type="character" w:customStyle="1" w:styleId="Unknown0">
    <w:name w:val="Unknown 0"/>
    <w:autoRedefine/>
    <w:semiHidden/>
    <w:rsid w:val="00211AE2"/>
  </w:style>
  <w:style w:type="character" w:customStyle="1" w:styleId="Hyperlink1">
    <w:name w:val="Hyperlink1"/>
    <w:rsid w:val="00211AE2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de.paho.org/bvsacd/cd50/saludA2007eng/p4slucia-vene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bge.gov.br/home/estatistica/populacao/indic_sociosaude/2009/indicsaude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ge.gov.br/english/estatistica/populacao/registrocivil/2010/rc2010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ielo.br/scielo.php?script=sci_arttext&amp;pid=S0080-62342011000600006&amp;lng=en&amp;nrm=i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1949</Words>
  <Characters>11036</Characters>
  <Application>Microsoft Office Word</Application>
  <DocSecurity>0</DocSecurity>
  <Lines>200</Lines>
  <Paragraphs>62</Paragraphs>
  <ScaleCrop>false</ScaleCrop>
  <Company>Hewlett-Packard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Carla Valentina</cp:lastModifiedBy>
  <cp:revision>4</cp:revision>
  <dcterms:created xsi:type="dcterms:W3CDTF">2013-05-17T15:28:00Z</dcterms:created>
  <dcterms:modified xsi:type="dcterms:W3CDTF">2013-05-17T15:42:00Z</dcterms:modified>
</cp:coreProperties>
</file>